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62399CEF" w:rsidR="00872ED7" w:rsidRPr="00872ED7" w:rsidRDefault="00410AFB" w:rsidP="00872ED7">
      <w:pPr>
        <w:ind w:left="142"/>
        <w:rPr>
          <w:rFonts w:ascii="Helvetica Neue" w:hAnsi="Helvetica Neue"/>
          <w:b/>
          <w:bCs/>
          <w:color w:val="003172"/>
          <w:lang w:val="en-GB"/>
        </w:rPr>
      </w:pPr>
      <w:r>
        <w:rPr>
          <w:rFonts w:ascii="Helvetica Neue" w:hAnsi="Helvetica Neue"/>
          <w:b/>
          <w:bCs/>
          <w:color w:val="003172"/>
          <w:lang w:val="en-GB"/>
        </w:rPr>
        <w:t>The missing middle: Healthcare affordability must be engineered, not diluted</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49151CAC" w14:textId="77777777" w:rsidR="00410AFB" w:rsidRDefault="00410AFB" w:rsidP="00410AFB">
      <w:pPr>
        <w:rPr>
          <w:rFonts w:ascii="Helvetica Neue" w:hAnsi="Helvetica Neue"/>
          <w:b/>
          <w:bCs/>
          <w:sz w:val="21"/>
          <w:szCs w:val="21"/>
        </w:rPr>
      </w:pPr>
    </w:p>
    <w:p w14:paraId="44A97CE7" w14:textId="000E8BC8"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South Africa’s healthcare debate often focuses on two distinct but separate sectors: a resource-constrained public sector and a high-cost private system serving a relatively small share of the population. Yet the most pressing pressure point lies between these two extremes.</w:t>
      </w:r>
    </w:p>
    <w:p w14:paraId="19954ED7" w14:textId="77777777" w:rsidR="001626DC" w:rsidRPr="00A31554" w:rsidRDefault="001626DC" w:rsidP="00F85213">
      <w:pPr>
        <w:rPr>
          <w:rFonts w:ascii="Helvetica Neue" w:hAnsi="Helvetica Neue"/>
          <w:b/>
          <w:bCs/>
          <w:i/>
          <w:iCs/>
          <w:sz w:val="21"/>
          <w:szCs w:val="21"/>
        </w:rPr>
      </w:pPr>
    </w:p>
    <w:p w14:paraId="03672D5B"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The “missing middle” – working individuals and families who earn too much to qualify for public healthcare support but too little to comfortably afford private medical scheme cover, is growing. And it is becoming one of the most consequential risks to the sustainability of the entire healthcare system.</w:t>
      </w:r>
    </w:p>
    <w:p w14:paraId="2843B934"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ab/>
      </w:r>
      <w:r w:rsidRPr="00410AFB">
        <w:rPr>
          <w:rFonts w:ascii="Helvetica Neue" w:hAnsi="Helvetica Neue"/>
          <w:bCs/>
          <w:sz w:val="21"/>
          <w:szCs w:val="21"/>
        </w:rPr>
        <w:tab/>
      </w:r>
    </w:p>
    <w:p w14:paraId="4924BBC2"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According to industry data, only around </w:t>
      </w:r>
      <w:hyperlink r:id="rId8" w:history="1">
        <w:r w:rsidRPr="00410AFB">
          <w:rPr>
            <w:rStyle w:val="Hyperlink"/>
            <w:rFonts w:ascii="Helvetica Neue" w:hAnsi="Helvetica Neue"/>
            <w:bCs/>
            <w:sz w:val="21"/>
            <w:szCs w:val="21"/>
          </w:rPr>
          <w:t>14-16%</w:t>
        </w:r>
      </w:hyperlink>
      <w:r w:rsidRPr="00410AFB">
        <w:rPr>
          <w:rFonts w:ascii="Helvetica Neue" w:hAnsi="Helvetica Neue"/>
          <w:bCs/>
          <w:sz w:val="21"/>
          <w:szCs w:val="21"/>
        </w:rPr>
        <w:t xml:space="preserve"> of South Africans have medical scheme cover, leaving the vast majority dependent on the State public system. This statistic masks a deeper structural issue: a gradual erosion of private cover among middle-income earners who are being priced out, not by choice, but by necessity. This is often framed as an affordability challenge. In reality, it is a system-level vulnerability with long-term consequences.</w:t>
      </w:r>
    </w:p>
    <w:p w14:paraId="2143E057" w14:textId="77777777" w:rsidR="00410AFB" w:rsidRPr="00410AFB" w:rsidRDefault="00410AFB" w:rsidP="00410AFB">
      <w:pPr>
        <w:ind w:left="142"/>
        <w:rPr>
          <w:rFonts w:ascii="Helvetica Neue" w:hAnsi="Helvetica Neue"/>
          <w:bCs/>
          <w:sz w:val="21"/>
          <w:szCs w:val="21"/>
        </w:rPr>
      </w:pPr>
    </w:p>
    <w:p w14:paraId="44021B6F"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 xml:space="preserve">When members of the missing middle exit private cover, they do not disappear from the healthcare system. They shift into the public sector. The consequences extend beyond individual households. It shifts additional pressure onto a public system that already serves more than </w:t>
      </w:r>
      <w:hyperlink r:id="rId9" w:history="1">
        <w:r w:rsidRPr="00410AFB">
          <w:rPr>
            <w:rStyle w:val="Hyperlink"/>
            <w:rFonts w:ascii="Helvetica Neue" w:hAnsi="Helvetica Neue"/>
            <w:bCs/>
            <w:sz w:val="21"/>
            <w:szCs w:val="21"/>
          </w:rPr>
          <w:t>84% of the population</w:t>
        </w:r>
      </w:hyperlink>
      <w:r w:rsidRPr="00410AFB">
        <w:rPr>
          <w:rFonts w:ascii="Helvetica Neue" w:hAnsi="Helvetica Neue"/>
          <w:bCs/>
          <w:sz w:val="21"/>
          <w:szCs w:val="21"/>
        </w:rPr>
        <w:t xml:space="preserve">, while disrupting continuity of care and compromising long-term health outcomes. They often delay seeking care due to cost concerns, which leads to more complex and expensive health issues later. The result is a lose-lose scenario: poorer health outcomes for individuals and higher cumulative costs for the system. </w:t>
      </w:r>
    </w:p>
    <w:p w14:paraId="1FE34326" w14:textId="77777777" w:rsidR="00410AFB" w:rsidRPr="00410AFB" w:rsidRDefault="00410AFB" w:rsidP="00410AFB">
      <w:pPr>
        <w:ind w:left="142"/>
        <w:rPr>
          <w:rFonts w:ascii="Helvetica Neue" w:hAnsi="Helvetica Neue"/>
          <w:bCs/>
          <w:sz w:val="21"/>
          <w:szCs w:val="21"/>
        </w:rPr>
      </w:pPr>
    </w:p>
    <w:p w14:paraId="6C93C9C4"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It is a structural challenge that requires a deliberate and sustainable response. If left unaddressed, this dynamic will widen the gap between public and private healthcare, entrench inequality, and reduce overall system resilience.</w:t>
      </w:r>
    </w:p>
    <w:p w14:paraId="7CB0508C" w14:textId="77777777" w:rsidR="00410AFB" w:rsidRPr="00410AFB" w:rsidRDefault="00410AFB" w:rsidP="00410AFB">
      <w:pPr>
        <w:ind w:left="142"/>
        <w:rPr>
          <w:rFonts w:ascii="Helvetica Neue" w:hAnsi="Helvetica Neue"/>
          <w:bCs/>
          <w:sz w:val="21"/>
          <w:szCs w:val="21"/>
        </w:rPr>
      </w:pPr>
    </w:p>
    <w:p w14:paraId="130EFDE1"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Affordability without erosion</w:t>
      </w:r>
    </w:p>
    <w:p w14:paraId="412E4D52" w14:textId="77777777" w:rsidR="00410AFB" w:rsidRPr="00410AFB" w:rsidRDefault="00410AFB" w:rsidP="00410AFB">
      <w:pPr>
        <w:ind w:left="142"/>
        <w:rPr>
          <w:rFonts w:ascii="Helvetica Neue" w:hAnsi="Helvetica Neue"/>
          <w:b/>
          <w:bCs/>
          <w:sz w:val="21"/>
          <w:szCs w:val="21"/>
        </w:rPr>
      </w:pPr>
    </w:p>
    <w:p w14:paraId="28591F8D"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 xml:space="preserve">The instinctive response to rising healthcare costs is to reduce benefits or introduce more co-payments in order to keep contributions manageable. While this may provide short-term relief, it introduces long-term risk. </w:t>
      </w:r>
      <w:r w:rsidRPr="00410AFB">
        <w:rPr>
          <w:rFonts w:ascii="Helvetica Neue" w:hAnsi="Helvetica Neue"/>
          <w:bCs/>
          <w:sz w:val="21"/>
          <w:szCs w:val="21"/>
        </w:rPr>
        <w:lastRenderedPageBreak/>
        <w:t>Reduced benefits often lead to delayed diagnosis, unmanaged chronic conditions, and increased reliance on acute hospital care. What appears to be cost containment is, in many cases, simply cost deferral.</w:t>
      </w:r>
    </w:p>
    <w:p w14:paraId="7E1C391D" w14:textId="77777777" w:rsidR="00410AFB" w:rsidRPr="00410AFB" w:rsidRDefault="00410AFB" w:rsidP="00410AFB">
      <w:pPr>
        <w:ind w:left="142"/>
        <w:rPr>
          <w:rFonts w:ascii="Helvetica Neue" w:hAnsi="Helvetica Neue"/>
          <w:bCs/>
          <w:sz w:val="21"/>
          <w:szCs w:val="21"/>
        </w:rPr>
      </w:pPr>
    </w:p>
    <w:p w14:paraId="1BC80606"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True affordability cannot be achieved by stripping back value. It must be engineered through smarter system design. For medical schemes, the challenge is not only to keep contributions competitive, but to preserve meaningful access to quality care over time. This requires a shift away from blunt cost-cutting toward more deliberate, data-driven approaches to value.</w:t>
      </w:r>
    </w:p>
    <w:p w14:paraId="639BCAA7" w14:textId="77777777" w:rsidR="00410AFB" w:rsidRPr="00410AFB" w:rsidRDefault="00410AFB" w:rsidP="00410AFB">
      <w:pPr>
        <w:ind w:left="142"/>
        <w:rPr>
          <w:rFonts w:ascii="Helvetica Neue" w:hAnsi="Helvetica Neue"/>
          <w:bCs/>
          <w:sz w:val="21"/>
          <w:szCs w:val="21"/>
        </w:rPr>
      </w:pPr>
    </w:p>
    <w:p w14:paraId="6ABA4487"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Rethinking how cover is structured</w:t>
      </w:r>
    </w:p>
    <w:p w14:paraId="06E3E369" w14:textId="77777777" w:rsidR="00410AFB" w:rsidRPr="00410AFB" w:rsidRDefault="00410AFB" w:rsidP="00410AFB">
      <w:pPr>
        <w:ind w:left="142"/>
        <w:rPr>
          <w:rFonts w:ascii="Helvetica Neue" w:hAnsi="Helvetica Neue"/>
          <w:bCs/>
          <w:sz w:val="21"/>
          <w:szCs w:val="21"/>
        </w:rPr>
      </w:pPr>
    </w:p>
    <w:p w14:paraId="6F97E9FD"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Traditional models of fixed contributions and standardised benefit options do not always align with the financial realities of the missing middle. Many households experience fluctuating income or competing financial priorities that make rigid pricing structures difficult to sustain.</w:t>
      </w:r>
    </w:p>
    <w:p w14:paraId="31F88D9D" w14:textId="77777777" w:rsidR="00410AFB" w:rsidRPr="00410AFB" w:rsidRDefault="00410AFB" w:rsidP="00410AFB">
      <w:pPr>
        <w:ind w:left="142"/>
        <w:rPr>
          <w:rFonts w:ascii="Helvetica Neue" w:hAnsi="Helvetica Neue"/>
          <w:bCs/>
          <w:sz w:val="21"/>
          <w:szCs w:val="21"/>
        </w:rPr>
      </w:pPr>
    </w:p>
    <w:p w14:paraId="275D9FDF"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More flexible contribution models, including income-sensitive approaches where feasible, can help align cost with affordability. At the same time, risk pooling and cross-subsidisation remain essential to ensuring that access is not compromised for those with greater healthcare needs. The objective is not to create “cheaper” products, but to design options that are better matched to how people live and earn.</w:t>
      </w:r>
    </w:p>
    <w:p w14:paraId="4DCAEDB3" w14:textId="77777777" w:rsidR="00410AFB" w:rsidRPr="00410AFB" w:rsidRDefault="00410AFB" w:rsidP="00410AFB">
      <w:pPr>
        <w:ind w:left="142"/>
        <w:rPr>
          <w:rFonts w:ascii="Helvetica Neue" w:hAnsi="Helvetica Neue"/>
          <w:bCs/>
          <w:sz w:val="21"/>
          <w:szCs w:val="21"/>
        </w:rPr>
      </w:pPr>
    </w:p>
    <w:p w14:paraId="7D0DD500"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Smarter purchasing, better outcomes</w:t>
      </w:r>
    </w:p>
    <w:p w14:paraId="16B14D33" w14:textId="77777777" w:rsidR="00410AFB" w:rsidRPr="00410AFB" w:rsidRDefault="00410AFB" w:rsidP="00410AFB">
      <w:pPr>
        <w:ind w:left="142"/>
        <w:rPr>
          <w:rFonts w:ascii="Helvetica Neue" w:hAnsi="Helvetica Neue"/>
          <w:bCs/>
          <w:sz w:val="21"/>
          <w:szCs w:val="21"/>
        </w:rPr>
      </w:pPr>
    </w:p>
    <w:p w14:paraId="2AEB5C18"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Affordability is shaped as much by how care is purchased as by what members pay. Network-based models, in which schemes partner with selected providers that meet defined quality and cost criteria, offer a more predictable and coordinated approach to care delivery. These models can reduce unnecessary variation in pricing, limit duplication of services, and improve clinical outcomes.</w:t>
      </w:r>
    </w:p>
    <w:p w14:paraId="2238D1E6" w14:textId="77777777" w:rsidR="00410AFB" w:rsidRPr="00410AFB" w:rsidRDefault="00410AFB" w:rsidP="00410AFB">
      <w:pPr>
        <w:ind w:left="142"/>
        <w:rPr>
          <w:rFonts w:ascii="Helvetica Neue" w:hAnsi="Helvetica Neue"/>
          <w:bCs/>
          <w:sz w:val="21"/>
          <w:szCs w:val="21"/>
        </w:rPr>
      </w:pPr>
    </w:p>
    <w:p w14:paraId="78D91B79"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Importantly, they demonstrate that cost control need not come at the expense of quality. When implemented effectively, they can achieve both.</w:t>
      </w:r>
    </w:p>
    <w:p w14:paraId="3BFFF6A1" w14:textId="77777777" w:rsidR="00410AFB" w:rsidRPr="00410AFB" w:rsidRDefault="00410AFB" w:rsidP="00410AFB">
      <w:pPr>
        <w:ind w:left="142"/>
        <w:rPr>
          <w:rFonts w:ascii="Helvetica Neue" w:hAnsi="Helvetica Neue"/>
          <w:bCs/>
          <w:sz w:val="21"/>
          <w:szCs w:val="21"/>
        </w:rPr>
      </w:pPr>
    </w:p>
    <w:p w14:paraId="65A55A20"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Prevention is a financial strategy</w:t>
      </w:r>
    </w:p>
    <w:p w14:paraId="137F5D16" w14:textId="77777777" w:rsidR="00410AFB" w:rsidRPr="00410AFB" w:rsidRDefault="00410AFB" w:rsidP="00410AFB">
      <w:pPr>
        <w:ind w:left="142"/>
        <w:rPr>
          <w:rFonts w:ascii="Helvetica Neue" w:hAnsi="Helvetica Neue"/>
          <w:bCs/>
          <w:sz w:val="21"/>
          <w:szCs w:val="21"/>
        </w:rPr>
      </w:pPr>
    </w:p>
    <w:p w14:paraId="1822D835"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Preventive care is often positioned as a clinical priority. It is equally a financial one.</w:t>
      </w:r>
    </w:p>
    <w:p w14:paraId="0BCD1A1C" w14:textId="77777777" w:rsidR="00410AFB" w:rsidRPr="00410AFB" w:rsidRDefault="00410AFB" w:rsidP="00410AFB">
      <w:pPr>
        <w:ind w:left="142"/>
        <w:rPr>
          <w:rFonts w:ascii="Helvetica Neue" w:hAnsi="Helvetica Neue"/>
          <w:bCs/>
          <w:sz w:val="21"/>
          <w:szCs w:val="21"/>
        </w:rPr>
      </w:pPr>
    </w:p>
    <w:p w14:paraId="566F6821"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Early detection and proactive management of conditions such as hypertension, diabetes, and high cholesterol significantly reduce the likelihood of costly complications later. Encouraging regular screenings, supporting treatment adherence, and enabling access to primary care are among the most effective ways to manage long-term costs.</w:t>
      </w:r>
    </w:p>
    <w:p w14:paraId="0AFAB087" w14:textId="77777777" w:rsidR="00410AFB" w:rsidRPr="00410AFB" w:rsidRDefault="00410AFB" w:rsidP="00410AFB">
      <w:pPr>
        <w:ind w:left="142"/>
        <w:rPr>
          <w:rFonts w:ascii="Helvetica Neue" w:hAnsi="Helvetica Neue"/>
          <w:bCs/>
          <w:sz w:val="21"/>
          <w:szCs w:val="21"/>
        </w:rPr>
      </w:pPr>
    </w:p>
    <w:p w14:paraId="4E52EC28"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For the missing middle, where every rand matters, preventing illness is one of the most powerful tools for maintaining affordability.</w:t>
      </w:r>
    </w:p>
    <w:p w14:paraId="5E3A8E73" w14:textId="77777777" w:rsidR="00410AFB" w:rsidRPr="00410AFB" w:rsidRDefault="00410AFB" w:rsidP="00410AFB">
      <w:pPr>
        <w:ind w:left="142"/>
        <w:rPr>
          <w:rFonts w:ascii="Helvetica Neue" w:hAnsi="Helvetica Neue"/>
          <w:bCs/>
          <w:sz w:val="21"/>
          <w:szCs w:val="21"/>
        </w:rPr>
      </w:pPr>
    </w:p>
    <w:p w14:paraId="0777BC67"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Aligning incentives across the system</w:t>
      </w:r>
    </w:p>
    <w:p w14:paraId="1783811B" w14:textId="77777777" w:rsidR="00410AFB" w:rsidRPr="00410AFB" w:rsidRDefault="00410AFB" w:rsidP="00410AFB">
      <w:pPr>
        <w:ind w:left="142"/>
        <w:rPr>
          <w:rFonts w:ascii="Helvetica Neue" w:hAnsi="Helvetica Neue"/>
          <w:bCs/>
          <w:sz w:val="21"/>
          <w:szCs w:val="21"/>
        </w:rPr>
      </w:pPr>
    </w:p>
    <w:p w14:paraId="2AFC9970"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 xml:space="preserve">One of the less visible drivers of rising healthcare costs is misaligned incentives. Providers are often reimbursed in ways that reward volume over value. Patients may not always have clear guidance on where to access the most appropriate care. Funders must balance cost containment with access. Bringing these elements into alignment is critical. </w:t>
      </w:r>
    </w:p>
    <w:p w14:paraId="3797331B" w14:textId="77777777" w:rsidR="00410AFB" w:rsidRPr="00410AFB" w:rsidRDefault="00410AFB" w:rsidP="00410AFB">
      <w:pPr>
        <w:ind w:left="142"/>
        <w:rPr>
          <w:rFonts w:ascii="Helvetica Neue" w:hAnsi="Helvetica Neue"/>
          <w:bCs/>
          <w:sz w:val="21"/>
          <w:szCs w:val="21"/>
        </w:rPr>
      </w:pPr>
    </w:p>
    <w:p w14:paraId="3E906F58"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Providers should be incentivised to deliver efficient, high-quality care. Members should be empowered with information and support to make informed decisions. Schemes should structure benefits that encourage appropriate utilisation.</w:t>
      </w:r>
    </w:p>
    <w:p w14:paraId="460C6952" w14:textId="77777777" w:rsidR="00410AFB" w:rsidRPr="00410AFB" w:rsidRDefault="00410AFB" w:rsidP="00410AFB">
      <w:pPr>
        <w:ind w:left="142"/>
        <w:rPr>
          <w:rFonts w:ascii="Helvetica Neue" w:hAnsi="Helvetica Neue"/>
          <w:bCs/>
          <w:sz w:val="21"/>
          <w:szCs w:val="21"/>
        </w:rPr>
      </w:pPr>
    </w:p>
    <w:p w14:paraId="65314D46"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When incentives are aligned, waste is reduced, outcomes improve, and affordability becomes more achievable.</w:t>
      </w:r>
    </w:p>
    <w:p w14:paraId="2F6E5225" w14:textId="77777777" w:rsidR="00410AFB" w:rsidRPr="00410AFB" w:rsidRDefault="00410AFB" w:rsidP="00410AFB">
      <w:pPr>
        <w:ind w:left="142"/>
        <w:rPr>
          <w:rFonts w:ascii="Helvetica Neue" w:hAnsi="Helvetica Neue"/>
          <w:bCs/>
          <w:sz w:val="21"/>
          <w:szCs w:val="21"/>
        </w:rPr>
      </w:pPr>
    </w:p>
    <w:p w14:paraId="36521582"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Innovation with purpose</w:t>
      </w:r>
    </w:p>
    <w:p w14:paraId="060FDB52" w14:textId="77777777" w:rsidR="00410AFB" w:rsidRPr="00410AFB" w:rsidRDefault="00410AFB" w:rsidP="00410AFB">
      <w:pPr>
        <w:ind w:left="142"/>
        <w:rPr>
          <w:rFonts w:ascii="Helvetica Neue" w:hAnsi="Helvetica Neue"/>
          <w:bCs/>
          <w:sz w:val="21"/>
          <w:szCs w:val="21"/>
        </w:rPr>
      </w:pPr>
    </w:p>
    <w:p w14:paraId="295D8A05"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Innovation in healthcare is frequently associated with new technologies or high-end treatments. But for the missing middle, innovation must be practical and purposeful.</w:t>
      </w:r>
    </w:p>
    <w:p w14:paraId="0484A242" w14:textId="77777777" w:rsidR="00410AFB" w:rsidRPr="00410AFB" w:rsidRDefault="00410AFB" w:rsidP="00410AFB">
      <w:pPr>
        <w:ind w:left="142"/>
        <w:rPr>
          <w:rFonts w:ascii="Helvetica Neue" w:hAnsi="Helvetica Neue"/>
          <w:bCs/>
          <w:sz w:val="21"/>
          <w:szCs w:val="21"/>
        </w:rPr>
      </w:pPr>
    </w:p>
    <w:p w14:paraId="6F51798B"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This includes benefit designs that prioritise essential cover while maintaining access to quality hospital care, clearer care pathways that reduce unnecessary costs, and digital tools that improve access and convenience. Virtual consultations, for example, can lower barriers to primary care. Managed care programmes can support patients with chronic conditions more effectively. Data analytics can help identify risk earlier and intervene sooner.</w:t>
      </w:r>
    </w:p>
    <w:p w14:paraId="23B0B2D9" w14:textId="77777777" w:rsidR="00410AFB" w:rsidRPr="00410AFB" w:rsidRDefault="00410AFB" w:rsidP="00410AFB">
      <w:pPr>
        <w:ind w:left="142"/>
        <w:rPr>
          <w:rFonts w:ascii="Helvetica Neue" w:hAnsi="Helvetica Neue"/>
          <w:bCs/>
          <w:sz w:val="21"/>
          <w:szCs w:val="21"/>
        </w:rPr>
      </w:pPr>
    </w:p>
    <w:p w14:paraId="4CC9F14B"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These are not abstract concepts. They are tangible levers that can make healthcare more accessible and sustainable.</w:t>
      </w:r>
    </w:p>
    <w:p w14:paraId="7A3AA881" w14:textId="77777777" w:rsidR="00410AFB" w:rsidRPr="00410AFB" w:rsidRDefault="00410AFB" w:rsidP="00410AFB">
      <w:pPr>
        <w:ind w:left="142"/>
        <w:rPr>
          <w:rFonts w:ascii="Helvetica Neue" w:hAnsi="Helvetica Neue"/>
          <w:bCs/>
          <w:sz w:val="21"/>
          <w:szCs w:val="21"/>
        </w:rPr>
      </w:pPr>
    </w:p>
    <w:p w14:paraId="375F4A09"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A shared responsibility</w:t>
      </w:r>
    </w:p>
    <w:p w14:paraId="5DA807C5" w14:textId="77777777" w:rsidR="00410AFB" w:rsidRPr="00410AFB" w:rsidRDefault="00410AFB" w:rsidP="00410AFB">
      <w:pPr>
        <w:ind w:left="142"/>
        <w:rPr>
          <w:rFonts w:ascii="Helvetica Neue" w:hAnsi="Helvetica Neue"/>
          <w:bCs/>
          <w:sz w:val="21"/>
          <w:szCs w:val="21"/>
        </w:rPr>
      </w:pPr>
    </w:p>
    <w:p w14:paraId="123EFBDE"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The missing middle is not a problem that medical schemes can solve in isolation. It reflects broader economic realities, including income inequality, employment patterns, and the rising cost of living.</w:t>
      </w:r>
    </w:p>
    <w:p w14:paraId="15512B53" w14:textId="77777777" w:rsidR="00410AFB" w:rsidRPr="00410AFB" w:rsidRDefault="00410AFB" w:rsidP="00410AFB">
      <w:pPr>
        <w:ind w:left="142"/>
        <w:rPr>
          <w:rFonts w:ascii="Helvetica Neue" w:hAnsi="Helvetica Neue"/>
          <w:bCs/>
          <w:sz w:val="21"/>
          <w:szCs w:val="21"/>
        </w:rPr>
      </w:pPr>
    </w:p>
    <w:p w14:paraId="65F7C10D"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Addressing it will require coordinated action across the healthcare ecosystem, including regulators, providers, employers, and policymakers. Medical schemes, however, have a critical role to play. Through risk management, care coordination, and value-based purchasing, they are uniquely positioned to drive meaningful change.</w:t>
      </w:r>
    </w:p>
    <w:p w14:paraId="6CB60EE0" w14:textId="77777777" w:rsidR="00410AFB" w:rsidRPr="00410AFB" w:rsidRDefault="00410AFB" w:rsidP="00410AFB">
      <w:pPr>
        <w:ind w:left="142"/>
        <w:rPr>
          <w:rFonts w:ascii="Helvetica Neue" w:hAnsi="Helvetica Neue"/>
          <w:bCs/>
          <w:sz w:val="21"/>
          <w:szCs w:val="21"/>
        </w:rPr>
      </w:pPr>
    </w:p>
    <w:p w14:paraId="1F658A95" w14:textId="77777777" w:rsidR="00410AFB" w:rsidRPr="00410AFB" w:rsidRDefault="00410AFB" w:rsidP="00410AFB">
      <w:pPr>
        <w:ind w:left="142"/>
        <w:rPr>
          <w:rFonts w:ascii="Helvetica Neue" w:hAnsi="Helvetica Neue"/>
          <w:b/>
          <w:bCs/>
          <w:sz w:val="21"/>
          <w:szCs w:val="21"/>
        </w:rPr>
      </w:pPr>
      <w:r w:rsidRPr="00410AFB">
        <w:rPr>
          <w:rFonts w:ascii="Helvetica Neue" w:hAnsi="Helvetica Neue"/>
          <w:b/>
          <w:bCs/>
          <w:sz w:val="21"/>
          <w:szCs w:val="21"/>
        </w:rPr>
        <w:t>Closing the gap</w:t>
      </w:r>
    </w:p>
    <w:p w14:paraId="15823C7D" w14:textId="77777777" w:rsidR="00410AFB" w:rsidRPr="00410AFB" w:rsidRDefault="00410AFB" w:rsidP="00410AFB">
      <w:pPr>
        <w:ind w:left="142"/>
        <w:rPr>
          <w:rFonts w:ascii="Helvetica Neue" w:hAnsi="Helvetica Neue"/>
          <w:bCs/>
          <w:sz w:val="21"/>
          <w:szCs w:val="21"/>
        </w:rPr>
      </w:pPr>
    </w:p>
    <w:p w14:paraId="40575064"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The real risk is not simply that more people will lose access to private healthcare. It is expected that the divide between public and private systems will continue to widen, making equitable access to quality care increasingly difficult to achieve. Closing this gap requires a different mindset. Affordability cannot be treated as a trade-off against quality. It must be built into the system's design.</w:t>
      </w:r>
    </w:p>
    <w:p w14:paraId="70B3E304" w14:textId="77777777" w:rsidR="00410AFB" w:rsidRPr="00410AFB" w:rsidRDefault="00410AFB" w:rsidP="00410AFB">
      <w:pPr>
        <w:ind w:left="142"/>
        <w:rPr>
          <w:rFonts w:ascii="Helvetica Neue" w:hAnsi="Helvetica Neue"/>
          <w:bCs/>
          <w:sz w:val="21"/>
          <w:szCs w:val="21"/>
        </w:rPr>
      </w:pPr>
    </w:p>
    <w:p w14:paraId="401916BA" w14:textId="77777777" w:rsidR="00410AFB" w:rsidRPr="00410AFB" w:rsidRDefault="00410AFB" w:rsidP="00410AFB">
      <w:pPr>
        <w:ind w:left="142"/>
        <w:rPr>
          <w:rFonts w:ascii="Helvetica Neue" w:hAnsi="Helvetica Neue"/>
          <w:bCs/>
          <w:sz w:val="21"/>
          <w:szCs w:val="21"/>
        </w:rPr>
      </w:pPr>
      <w:r w:rsidRPr="00410AFB">
        <w:rPr>
          <w:rFonts w:ascii="Helvetica Neue" w:hAnsi="Helvetica Neue"/>
          <w:bCs/>
          <w:sz w:val="21"/>
          <w:szCs w:val="21"/>
        </w:rPr>
        <w:t>For the missing middle, the stakes are high. But so is the opportunity. With the right interventions, South Africa can create a more inclusive, resilient healthcare system that delivers value without compromise.</w:t>
      </w:r>
    </w:p>
    <w:p w14:paraId="68749C9D" w14:textId="77777777" w:rsidR="00410AFB" w:rsidRDefault="00410AFB" w:rsidP="001626DC">
      <w:pPr>
        <w:ind w:left="142"/>
        <w:rPr>
          <w:rFonts w:ascii="Helvetica Neue" w:hAnsi="Helvetica Neue"/>
          <w:bCs/>
          <w:sz w:val="21"/>
          <w:szCs w:val="21"/>
        </w:rPr>
      </w:pPr>
    </w:p>
    <w:p w14:paraId="11D61A09" w14:textId="77777777" w:rsidR="00F04197" w:rsidRDefault="00F04197" w:rsidP="00410AFB">
      <w:pPr>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1C538B72"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7708F2">
        <w:rPr>
          <w:rFonts w:ascii="Helvetica Neue" w:hAnsi="Helvetica Neue" w:cs="Calibri"/>
          <w:color w:val="808080" w:themeColor="background1" w:themeShade="80"/>
          <w:sz w:val="21"/>
          <w:szCs w:val="21"/>
          <w:lang w:val="en-GB"/>
        </w:rPr>
        <w:t>1047</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0"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1"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2"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lastRenderedPageBreak/>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3"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4"/>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5"/>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6"/>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7"/>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8"/>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9"/>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0"/>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1"/>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w:t>
      </w:r>
      <w:r w:rsidRPr="00D21093">
        <w:rPr>
          <w:rFonts w:ascii="Arial" w:hAnsi="Arial" w:cs="Arial"/>
          <w:sz w:val="21"/>
          <w:szCs w:val="21"/>
          <w:lang w:val="en-GB"/>
        </w:rPr>
        <w:lastRenderedPageBreak/>
        <w:t xml:space="preserve">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2"/>
      <w:headerReference w:type="first" r:id="rId23"/>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4658" w14:textId="77777777" w:rsidR="00F92BB7" w:rsidRDefault="00F92BB7" w:rsidP="005140A3">
      <w:r>
        <w:separator/>
      </w:r>
    </w:p>
  </w:endnote>
  <w:endnote w:type="continuationSeparator" w:id="0">
    <w:p w14:paraId="5934AB38" w14:textId="77777777" w:rsidR="00F92BB7" w:rsidRDefault="00F92BB7"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0956" w14:textId="77777777" w:rsidR="00F92BB7" w:rsidRDefault="00F92BB7" w:rsidP="005140A3">
      <w:r>
        <w:separator/>
      </w:r>
    </w:p>
  </w:footnote>
  <w:footnote w:type="continuationSeparator" w:id="0">
    <w:p w14:paraId="36AFA1C8" w14:textId="77777777" w:rsidR="00F92BB7" w:rsidRDefault="00F92BB7"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2"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2"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1"/>
  </w:num>
  <w:num w:numId="2" w16cid:durableId="1929998688">
    <w:abstractNumId w:val="14"/>
  </w:num>
  <w:num w:numId="3" w16cid:durableId="1232231516">
    <w:abstractNumId w:val="38"/>
  </w:num>
  <w:num w:numId="4" w16cid:durableId="1033387954">
    <w:abstractNumId w:val="31"/>
  </w:num>
  <w:num w:numId="5" w16cid:durableId="1051735443">
    <w:abstractNumId w:val="7"/>
  </w:num>
  <w:num w:numId="6" w16cid:durableId="262080214">
    <w:abstractNumId w:val="37"/>
  </w:num>
  <w:num w:numId="7" w16cid:durableId="1624385064">
    <w:abstractNumId w:val="2"/>
  </w:num>
  <w:num w:numId="8" w16cid:durableId="1437947627">
    <w:abstractNumId w:val="22"/>
  </w:num>
  <w:num w:numId="9" w16cid:durableId="740098256">
    <w:abstractNumId w:val="13"/>
  </w:num>
  <w:num w:numId="10" w16cid:durableId="658312438">
    <w:abstractNumId w:val="42"/>
  </w:num>
  <w:num w:numId="11" w16cid:durableId="621687782">
    <w:abstractNumId w:val="1"/>
  </w:num>
  <w:num w:numId="12" w16cid:durableId="603004783">
    <w:abstractNumId w:val="12"/>
  </w:num>
  <w:num w:numId="13" w16cid:durableId="1226069561">
    <w:abstractNumId w:val="20"/>
  </w:num>
  <w:num w:numId="14" w16cid:durableId="348798524">
    <w:abstractNumId w:val="5"/>
  </w:num>
  <w:num w:numId="15" w16cid:durableId="97259410">
    <w:abstractNumId w:val="40"/>
  </w:num>
  <w:num w:numId="16" w16cid:durableId="334648574">
    <w:abstractNumId w:val="18"/>
  </w:num>
  <w:num w:numId="17" w16cid:durableId="1178499041">
    <w:abstractNumId w:val="16"/>
  </w:num>
  <w:num w:numId="18" w16cid:durableId="217329712">
    <w:abstractNumId w:val="34"/>
  </w:num>
  <w:num w:numId="19" w16cid:durableId="2061245967">
    <w:abstractNumId w:val="25"/>
  </w:num>
  <w:num w:numId="20" w16cid:durableId="259144806">
    <w:abstractNumId w:val="8"/>
  </w:num>
  <w:num w:numId="21" w16cid:durableId="1646860078">
    <w:abstractNumId w:val="27"/>
  </w:num>
  <w:num w:numId="22" w16cid:durableId="463693069">
    <w:abstractNumId w:val="23"/>
  </w:num>
  <w:num w:numId="23" w16cid:durableId="464662659">
    <w:abstractNumId w:val="41"/>
  </w:num>
  <w:num w:numId="24" w16cid:durableId="801843454">
    <w:abstractNumId w:val="39"/>
  </w:num>
  <w:num w:numId="25" w16cid:durableId="307168308">
    <w:abstractNumId w:val="6"/>
  </w:num>
  <w:num w:numId="26" w16cid:durableId="413094014">
    <w:abstractNumId w:val="33"/>
  </w:num>
  <w:num w:numId="27" w16cid:durableId="34936238">
    <w:abstractNumId w:val="32"/>
  </w:num>
  <w:num w:numId="28" w16cid:durableId="376930076">
    <w:abstractNumId w:val="19"/>
  </w:num>
  <w:num w:numId="29" w16cid:durableId="2094352063">
    <w:abstractNumId w:val="17"/>
  </w:num>
  <w:num w:numId="30" w16cid:durableId="759956338">
    <w:abstractNumId w:val="24"/>
  </w:num>
  <w:num w:numId="31" w16cid:durableId="232669137">
    <w:abstractNumId w:val="10"/>
  </w:num>
  <w:num w:numId="32" w16cid:durableId="1719668521">
    <w:abstractNumId w:val="15"/>
  </w:num>
  <w:num w:numId="33" w16cid:durableId="2122217206">
    <w:abstractNumId w:val="44"/>
  </w:num>
  <w:num w:numId="34" w16cid:durableId="2052069579">
    <w:abstractNumId w:val="30"/>
  </w:num>
  <w:num w:numId="35" w16cid:durableId="2030252114">
    <w:abstractNumId w:val="3"/>
  </w:num>
  <w:num w:numId="36" w16cid:durableId="1801722157">
    <w:abstractNumId w:val="4"/>
  </w:num>
  <w:num w:numId="37" w16cid:durableId="121465416">
    <w:abstractNumId w:val="26"/>
  </w:num>
  <w:num w:numId="38" w16cid:durableId="533202276">
    <w:abstractNumId w:val="43"/>
  </w:num>
  <w:num w:numId="39" w16cid:durableId="559636264">
    <w:abstractNumId w:val="29"/>
  </w:num>
  <w:num w:numId="40" w16cid:durableId="300231842">
    <w:abstractNumId w:val="36"/>
  </w:num>
  <w:num w:numId="41" w16cid:durableId="449516236">
    <w:abstractNumId w:val="28"/>
  </w:num>
  <w:num w:numId="42" w16cid:durableId="40986581">
    <w:abstractNumId w:val="9"/>
  </w:num>
  <w:num w:numId="43" w16cid:durableId="1251350654">
    <w:abstractNumId w:val="21"/>
  </w:num>
  <w:num w:numId="44" w16cid:durableId="1060254729">
    <w:abstractNumId w:val="35"/>
  </w:num>
  <w:num w:numId="45" w16cid:durableId="1585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662A6"/>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2A7E"/>
    <w:rsid w:val="00123019"/>
    <w:rsid w:val="00124A27"/>
    <w:rsid w:val="0012529E"/>
    <w:rsid w:val="001348D1"/>
    <w:rsid w:val="00137CB3"/>
    <w:rsid w:val="00140F83"/>
    <w:rsid w:val="001457C4"/>
    <w:rsid w:val="0015086B"/>
    <w:rsid w:val="00150911"/>
    <w:rsid w:val="001543C0"/>
    <w:rsid w:val="00160CB0"/>
    <w:rsid w:val="001626DC"/>
    <w:rsid w:val="00164931"/>
    <w:rsid w:val="001668D1"/>
    <w:rsid w:val="00166B1A"/>
    <w:rsid w:val="00170AB7"/>
    <w:rsid w:val="001749E2"/>
    <w:rsid w:val="0017756E"/>
    <w:rsid w:val="00183497"/>
    <w:rsid w:val="0018590F"/>
    <w:rsid w:val="001A136A"/>
    <w:rsid w:val="001A6077"/>
    <w:rsid w:val="001B128F"/>
    <w:rsid w:val="001B3334"/>
    <w:rsid w:val="001C1B88"/>
    <w:rsid w:val="001C2CFB"/>
    <w:rsid w:val="001C5B39"/>
    <w:rsid w:val="001D42F4"/>
    <w:rsid w:val="001D462B"/>
    <w:rsid w:val="001D7CB8"/>
    <w:rsid w:val="001D7D04"/>
    <w:rsid w:val="001E1E17"/>
    <w:rsid w:val="001E4F33"/>
    <w:rsid w:val="001F1E6D"/>
    <w:rsid w:val="001F61FC"/>
    <w:rsid w:val="00203989"/>
    <w:rsid w:val="00204FDC"/>
    <w:rsid w:val="00207475"/>
    <w:rsid w:val="00210786"/>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2EB8"/>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2880"/>
    <w:rsid w:val="003A3EB8"/>
    <w:rsid w:val="003A6D5C"/>
    <w:rsid w:val="003B038E"/>
    <w:rsid w:val="003B095B"/>
    <w:rsid w:val="003B23C7"/>
    <w:rsid w:val="003C0ABE"/>
    <w:rsid w:val="003C43B5"/>
    <w:rsid w:val="003C60D3"/>
    <w:rsid w:val="003C6662"/>
    <w:rsid w:val="003D3B14"/>
    <w:rsid w:val="003D5FE3"/>
    <w:rsid w:val="003E2F67"/>
    <w:rsid w:val="003E478D"/>
    <w:rsid w:val="003F471B"/>
    <w:rsid w:val="00406B3D"/>
    <w:rsid w:val="00410AFB"/>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04E9"/>
    <w:rsid w:val="004C4802"/>
    <w:rsid w:val="004C4C86"/>
    <w:rsid w:val="004C5ED6"/>
    <w:rsid w:val="004E1D6A"/>
    <w:rsid w:val="004E698E"/>
    <w:rsid w:val="004F22E8"/>
    <w:rsid w:val="005004E2"/>
    <w:rsid w:val="00500576"/>
    <w:rsid w:val="0050174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97CDD"/>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4D1B"/>
    <w:rsid w:val="00665977"/>
    <w:rsid w:val="00665BE3"/>
    <w:rsid w:val="0067001A"/>
    <w:rsid w:val="0067380F"/>
    <w:rsid w:val="00677453"/>
    <w:rsid w:val="0068619D"/>
    <w:rsid w:val="006866D7"/>
    <w:rsid w:val="006901D2"/>
    <w:rsid w:val="00693F0D"/>
    <w:rsid w:val="00695BBE"/>
    <w:rsid w:val="006A2BA8"/>
    <w:rsid w:val="006A357C"/>
    <w:rsid w:val="006A5A96"/>
    <w:rsid w:val="006B326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946"/>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08F2"/>
    <w:rsid w:val="007719FA"/>
    <w:rsid w:val="007723F1"/>
    <w:rsid w:val="00772DF7"/>
    <w:rsid w:val="007758F7"/>
    <w:rsid w:val="00775FD2"/>
    <w:rsid w:val="00787B97"/>
    <w:rsid w:val="007965C7"/>
    <w:rsid w:val="007A3AD5"/>
    <w:rsid w:val="007A3CE6"/>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25B17"/>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0142"/>
    <w:rsid w:val="008A256F"/>
    <w:rsid w:val="008A78A4"/>
    <w:rsid w:val="008B2DEB"/>
    <w:rsid w:val="008B4AA5"/>
    <w:rsid w:val="008B6534"/>
    <w:rsid w:val="008C1EA0"/>
    <w:rsid w:val="008D250F"/>
    <w:rsid w:val="008D4807"/>
    <w:rsid w:val="008D56E7"/>
    <w:rsid w:val="008D6AD3"/>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2237"/>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4942"/>
    <w:rsid w:val="009F73D8"/>
    <w:rsid w:val="009F749F"/>
    <w:rsid w:val="00A021B7"/>
    <w:rsid w:val="00A1449E"/>
    <w:rsid w:val="00A2062F"/>
    <w:rsid w:val="00A250C8"/>
    <w:rsid w:val="00A31554"/>
    <w:rsid w:val="00A36E34"/>
    <w:rsid w:val="00A37343"/>
    <w:rsid w:val="00A56AF9"/>
    <w:rsid w:val="00A57A8D"/>
    <w:rsid w:val="00A648A9"/>
    <w:rsid w:val="00A64EB8"/>
    <w:rsid w:val="00A70A3D"/>
    <w:rsid w:val="00A759D7"/>
    <w:rsid w:val="00A80560"/>
    <w:rsid w:val="00A913C5"/>
    <w:rsid w:val="00A91C39"/>
    <w:rsid w:val="00A96326"/>
    <w:rsid w:val="00AA466D"/>
    <w:rsid w:val="00AA4BAB"/>
    <w:rsid w:val="00AA5458"/>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250A"/>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A7486"/>
    <w:rsid w:val="00BB0C28"/>
    <w:rsid w:val="00BB0ED1"/>
    <w:rsid w:val="00BB18CA"/>
    <w:rsid w:val="00BB246C"/>
    <w:rsid w:val="00BE2684"/>
    <w:rsid w:val="00BE6FD7"/>
    <w:rsid w:val="00BF2AD5"/>
    <w:rsid w:val="00BF376E"/>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1F82"/>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0D02"/>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3DD"/>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92BB7"/>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schemes.co.za/wp-content/CMSIndustryReport2024_4Dec.pdf" TargetMode="External"/><Relationship Id="rId13" Type="http://schemas.openxmlformats.org/officeDocument/2006/relationships/hyperlink" Target="https://medshield.co.za/2026-products/2026-benefit-op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medshield.co.z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anes@medshield.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media@stone.consulti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thepresidency.gov.za/node/8149"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5</cp:revision>
  <dcterms:created xsi:type="dcterms:W3CDTF">2026-05-05T09:14:00Z</dcterms:created>
  <dcterms:modified xsi:type="dcterms:W3CDTF">2026-05-05T09:25:00Z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